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0CE" w:rsidRPr="00C320CE" w:rsidRDefault="00C320CE" w:rsidP="00C320CE">
      <w:pPr>
        <w:shd w:val="clear" w:color="auto" w:fill="FFFFFF"/>
        <w:spacing w:after="0" w:line="336" w:lineRule="atLeast"/>
        <w:textAlignment w:val="baseline"/>
        <w:outlineLvl w:val="1"/>
        <w:rPr>
          <w:rFonts w:ascii="Univers LT Std" w:eastAsia="Times New Roman" w:hAnsi="Univers LT Std" w:cs="Times New Roman"/>
          <w:sz w:val="35"/>
          <w:szCs w:val="35"/>
          <w:lang w:eastAsia="fr-FR"/>
        </w:rPr>
      </w:pPr>
      <w:r w:rsidRPr="00C320CE">
        <w:rPr>
          <w:rFonts w:ascii="Univers LT Std" w:eastAsia="Times New Roman" w:hAnsi="Univers LT Std" w:cs="Times New Roman"/>
          <w:sz w:val="35"/>
          <w:szCs w:val="35"/>
          <w:lang w:eastAsia="fr-FR"/>
        </w:rPr>
        <w:t xml:space="preserve">Call for </w:t>
      </w:r>
      <w:proofErr w:type="spellStart"/>
      <w:r w:rsidRPr="00C320CE">
        <w:rPr>
          <w:rFonts w:ascii="Univers LT Std" w:eastAsia="Times New Roman" w:hAnsi="Univers LT Std" w:cs="Times New Roman"/>
          <w:sz w:val="35"/>
          <w:szCs w:val="35"/>
          <w:lang w:eastAsia="fr-FR"/>
        </w:rPr>
        <w:t>Papers</w:t>
      </w:r>
      <w:proofErr w:type="spellEnd"/>
      <w:r w:rsidRPr="00C320CE">
        <w:rPr>
          <w:rFonts w:ascii="Univers LT Std" w:eastAsia="Times New Roman" w:hAnsi="Univers LT Std" w:cs="Times New Roman"/>
          <w:sz w:val="35"/>
          <w:szCs w:val="35"/>
          <w:lang w:eastAsia="fr-FR"/>
        </w:rPr>
        <w:t>: AU ECHO 2024 Edition</w:t>
      </w:r>
    </w:p>
    <w:p w:rsidR="00C320CE" w:rsidRPr="00C320CE" w:rsidRDefault="00C320CE" w:rsidP="00C320CE">
      <w:pPr>
        <w:shd w:val="clear" w:color="auto" w:fill="FFFFFF"/>
        <w:spacing w:after="0" w:line="240" w:lineRule="auto"/>
        <w:textAlignment w:val="baseline"/>
        <w:rPr>
          <w:rFonts w:ascii="Univers LT Std" w:eastAsia="Times New Roman" w:hAnsi="Univers LT Std" w:cs="Times New Roman"/>
          <w:sz w:val="21"/>
          <w:szCs w:val="21"/>
          <w:bdr w:val="none" w:sz="0" w:space="0" w:color="auto" w:frame="1"/>
          <w:lang w:eastAsia="fr-FR"/>
        </w:rPr>
      </w:pPr>
      <w:r w:rsidRPr="00C320CE">
        <w:rPr>
          <w:rFonts w:ascii="Univers LT Std" w:eastAsia="Times New Roman" w:hAnsi="Univers LT Std" w:cs="Times New Roman"/>
          <w:sz w:val="21"/>
          <w:szCs w:val="21"/>
          <w:bdr w:val="none" w:sz="0" w:space="0" w:color="auto" w:frame="1"/>
          <w:lang w:eastAsia="fr-FR"/>
        </w:rPr>
        <w:t>Octobre 03, 2023 to octobre 26, 2023</w:t>
      </w:r>
    </w:p>
    <w:p w:rsidR="00C320CE" w:rsidRPr="00C320CE" w:rsidRDefault="00C320CE" w:rsidP="00C320CE">
      <w:pPr>
        <w:shd w:val="clear" w:color="auto" w:fill="FFFFFF"/>
        <w:spacing w:after="0" w:line="240" w:lineRule="auto"/>
        <w:textAlignment w:val="baseline"/>
        <w:rPr>
          <w:rFonts w:ascii="Univers LT Std" w:eastAsia="Times New Roman" w:hAnsi="Univers LT Std" w:cs="Times New Roman"/>
          <w:sz w:val="21"/>
          <w:szCs w:val="21"/>
          <w:lang w:eastAsia="fr-FR"/>
        </w:rPr>
      </w:pPr>
    </w:p>
    <w:p w:rsidR="00C320CE" w:rsidRPr="00C320CE" w:rsidRDefault="00C320CE" w:rsidP="00C320CE">
      <w:pPr>
        <w:shd w:val="clear" w:color="auto" w:fill="FFFFFF"/>
        <w:spacing w:after="0" w:line="240" w:lineRule="auto"/>
        <w:textAlignment w:val="baseline"/>
        <w:rPr>
          <w:rFonts w:ascii="Univers LT Std" w:eastAsia="Times New Roman" w:hAnsi="Univers LT Std" w:cs="Times New Roman"/>
          <w:sz w:val="21"/>
          <w:szCs w:val="21"/>
          <w:lang w:eastAsia="fr-FR"/>
        </w:rPr>
      </w:pPr>
      <w:r w:rsidRPr="00C320CE">
        <w:rPr>
          <w:rFonts w:ascii="Univers LT Std" w:eastAsia="Times New Roman" w:hAnsi="Univers LT Std" w:cs="Times New Roman"/>
          <w:noProof/>
          <w:sz w:val="21"/>
          <w:szCs w:val="21"/>
          <w:lang w:eastAsia="fr-FR"/>
        </w:rPr>
        <w:drawing>
          <wp:inline distT="0" distB="0" distL="0" distR="0">
            <wp:extent cx="3429000" cy="1645920"/>
            <wp:effectExtent l="0" t="0" r="0" b="0"/>
            <wp:docPr id="1" name="Image 1" descr="https://au.int/sites/default/files/styles/medium/public/announcements/43193-annc-AUECHO_Banner_WEB.png?itok=6X29D7Q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u.int/sites/default/files/styles/medium/public/announcements/43193-annc-AUECHO_Banner_WEB.png?itok=6X29D7Q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0CE" w:rsidRPr="00C320CE" w:rsidRDefault="00C320CE" w:rsidP="00C320CE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b/>
          <w:bCs/>
          <w:sz w:val="30"/>
          <w:szCs w:val="30"/>
          <w:bdr w:val="none" w:sz="0" w:space="0" w:color="auto" w:frame="1"/>
          <w:lang w:eastAsia="fr-FR"/>
        </w:rPr>
      </w:pPr>
    </w:p>
    <w:p w:rsidR="00C320CE" w:rsidRPr="00C320CE" w:rsidRDefault="00C320CE" w:rsidP="00C320CE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1"/>
          <w:szCs w:val="21"/>
          <w:lang w:eastAsia="fr-FR"/>
        </w:rPr>
      </w:pPr>
      <w:r w:rsidRPr="00C320CE">
        <w:rPr>
          <w:rFonts w:ascii="inherit" w:eastAsia="Times New Roman" w:hAnsi="inherit" w:cs="Arial"/>
          <w:b/>
          <w:bCs/>
          <w:sz w:val="30"/>
          <w:szCs w:val="30"/>
          <w:bdr w:val="none" w:sz="0" w:space="0" w:color="auto" w:frame="1"/>
          <w:lang w:eastAsia="fr-FR"/>
        </w:rPr>
        <w:t xml:space="preserve">The </w:t>
      </w:r>
      <w:proofErr w:type="spellStart"/>
      <w:r w:rsidRPr="00C320CE">
        <w:rPr>
          <w:rFonts w:ascii="inherit" w:eastAsia="Times New Roman" w:hAnsi="inherit" w:cs="Arial"/>
          <w:b/>
          <w:bCs/>
          <w:sz w:val="30"/>
          <w:szCs w:val="30"/>
          <w:bdr w:val="none" w:sz="0" w:space="0" w:color="auto" w:frame="1"/>
          <w:lang w:eastAsia="fr-FR"/>
        </w:rPr>
        <w:t>Year</w:t>
      </w:r>
      <w:proofErr w:type="spellEnd"/>
      <w:r w:rsidRPr="00C320CE">
        <w:rPr>
          <w:rFonts w:ascii="inherit" w:eastAsia="Times New Roman" w:hAnsi="inherit" w:cs="Arial"/>
          <w:b/>
          <w:bCs/>
          <w:sz w:val="30"/>
          <w:szCs w:val="30"/>
          <w:bdr w:val="none" w:sz="0" w:space="0" w:color="auto" w:frame="1"/>
          <w:lang w:eastAsia="fr-FR"/>
        </w:rPr>
        <w:t xml:space="preserve"> of Education</w:t>
      </w:r>
    </w:p>
    <w:p w:rsidR="00C320CE" w:rsidRPr="00C320CE" w:rsidRDefault="00C320CE" w:rsidP="00C320C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</w:pPr>
      <w:r w:rsidRPr="00C320CE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  <w:lang w:eastAsia="fr-FR"/>
        </w:rPr>
        <w:t>THEME: “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Educate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an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African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fit for the 21</w:t>
      </w:r>
      <w:r w:rsidRPr="00C320CE">
        <w:rPr>
          <w:rFonts w:ascii="Arial" w:eastAsia="Times New Roman" w:hAnsi="Arial" w:cs="Arial"/>
          <w:position w:val="6"/>
          <w:sz w:val="24"/>
          <w:szCs w:val="24"/>
          <w:bdr w:val="none" w:sz="0" w:space="0" w:color="auto" w:frame="1"/>
          <w:lang w:eastAsia="fr-FR"/>
        </w:rPr>
        <w:t>st </w:t>
      </w:r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Century: Building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resilient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education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systems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for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increased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access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to inclusive,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lifelong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,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quality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, and relevant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learning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in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Africa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”</w:t>
      </w:r>
    </w:p>
    <w:p w:rsidR="00C320CE" w:rsidRPr="00C320CE" w:rsidRDefault="00C320CE" w:rsidP="00C320CE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1"/>
          <w:szCs w:val="21"/>
          <w:lang w:eastAsia="fr-FR"/>
        </w:rPr>
      </w:pPr>
    </w:p>
    <w:p w:rsidR="00C320CE" w:rsidRPr="00C320CE" w:rsidRDefault="00C320CE" w:rsidP="00C320CE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1"/>
          <w:szCs w:val="21"/>
          <w:lang w:eastAsia="fr-FR"/>
        </w:rPr>
      </w:pPr>
      <w:r w:rsidRPr="00C320CE">
        <w:rPr>
          <w:rFonts w:ascii="inherit" w:eastAsia="Times New Roman" w:hAnsi="inherit" w:cs="Arial"/>
          <w:b/>
          <w:bCs/>
          <w:sz w:val="30"/>
          <w:szCs w:val="30"/>
          <w:bdr w:val="none" w:sz="0" w:space="0" w:color="auto" w:frame="1"/>
          <w:lang w:eastAsia="fr-FR"/>
        </w:rPr>
        <w:t>Introduction:</w:t>
      </w:r>
    </w:p>
    <w:p w:rsidR="00C320CE" w:rsidRPr="00C320CE" w:rsidRDefault="00C320CE" w:rsidP="00C320CE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1"/>
          <w:szCs w:val="21"/>
          <w:lang w:eastAsia="fr-FR"/>
        </w:rPr>
      </w:pPr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2024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is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the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year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of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education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.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Recent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reviews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of the Continental Education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Strategy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for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Africa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(CESA) and Education 2030 Framework for Action, the AU-UNESCO continental report of the </w:t>
      </w:r>
      <w:hyperlink r:id="rId6" w:history="1">
        <w:r w:rsidRPr="00C320CE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fr-FR"/>
          </w:rPr>
          <w:t>CESA </w:t>
        </w:r>
      </w:hyperlink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and </w:t>
      </w:r>
      <w:hyperlink r:id="rId7" w:history="1">
        <w:r w:rsidRPr="00C320CE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fr-FR"/>
          </w:rPr>
          <w:t>SDG4 </w:t>
        </w:r>
      </w:hyperlink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and a joint AU-UNICEF report on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Transforming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Education in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Africa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, point to the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fact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that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over the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past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ten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years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,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African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governments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have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undertaken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a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wide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range of programmes and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policy-level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efforts to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ensure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that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no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child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is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left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behind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in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access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to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education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. There have been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substantial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efforts on the continent to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ensure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access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,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completion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, and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quality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of basic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education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for all.</w:t>
      </w:r>
    </w:p>
    <w:p w:rsidR="00C320CE" w:rsidRPr="00C320CE" w:rsidRDefault="00C320CE" w:rsidP="00C320CE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1"/>
          <w:szCs w:val="21"/>
          <w:lang w:eastAsia="fr-FR"/>
        </w:rPr>
      </w:pP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Overall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, the proportion of out-of-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school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children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had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decreased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until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around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2010. The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completion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rates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had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improved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in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primary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and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lower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secondary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education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, as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well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as the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access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to and the participation in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Technical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and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Vocational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Education and Training (TVET). There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was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also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noticeable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progress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in the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access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to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pre-primary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education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and in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adult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literacy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and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lifelong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learning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.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With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regards to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school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feeding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,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low-income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countries have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doubled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their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national budget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expenditures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to Home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Grown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School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Feeding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(HGSF)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from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17 percent to 33 percent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between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2013 and 2020. In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lower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middle-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income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countries, national budgets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now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account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for 88% of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school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meals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financing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, up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from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55%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in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2013.</w:t>
      </w:r>
    </w:p>
    <w:p w:rsidR="00C320CE" w:rsidRPr="00C320CE" w:rsidRDefault="00C320CE" w:rsidP="00C320CE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1"/>
          <w:szCs w:val="21"/>
          <w:lang w:eastAsia="fr-FR"/>
        </w:rPr>
      </w:pP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However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,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despite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efforts and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progress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made,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three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main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indicators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ring a warning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bell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:</w:t>
      </w:r>
    </w:p>
    <w:p w:rsidR="00C320CE" w:rsidRPr="00C320CE" w:rsidRDefault="00C320CE" w:rsidP="00C320CE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1"/>
          <w:szCs w:val="21"/>
          <w:lang w:eastAsia="fr-FR"/>
        </w:rPr>
      </w:pPr>
      <w:r w:rsidRPr="00C320CE">
        <w:rPr>
          <w:rFonts w:ascii="Arial" w:eastAsia="Times New Roman" w:hAnsi="Arial" w:cs="Arial"/>
          <w:position w:val="-2"/>
          <w:sz w:val="24"/>
          <w:szCs w:val="24"/>
          <w:bdr w:val="none" w:sz="0" w:space="0" w:color="auto" w:frame="1"/>
          <w:lang w:eastAsia="fr-FR"/>
        </w:rPr>
        <w:t>▪  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Although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the out of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school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rate, i.e. the “proportion of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children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and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young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people in the official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age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range for the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given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level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of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education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who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are not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enrolled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in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pre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-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lastRenderedPageBreak/>
        <w:t>primary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,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primary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,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secondary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or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higher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levels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of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education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”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keeps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steadily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decreasing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,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especially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for the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primary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level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, the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absolute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number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has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reached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the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alarming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global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estimate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of </w:t>
      </w:r>
      <w:hyperlink r:id="rId8" w:history="1">
        <w:r w:rsidRPr="00C320CE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fr-FR"/>
          </w:rPr>
          <w:t xml:space="preserve">98 million in </w:t>
        </w:r>
        <w:proofErr w:type="spellStart"/>
        <w:r w:rsidRPr="00C320CE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fr-FR"/>
          </w:rPr>
          <w:t>Africa</w:t>
        </w:r>
        <w:proofErr w:type="spellEnd"/>
        <w:r w:rsidRPr="00C320CE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fr-FR"/>
          </w:rPr>
          <w:t>.</w:t>
        </w:r>
      </w:hyperlink>
    </w:p>
    <w:p w:rsidR="00C320CE" w:rsidRPr="00C320CE" w:rsidRDefault="00C320CE" w:rsidP="00C320CE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1"/>
          <w:szCs w:val="21"/>
          <w:lang w:eastAsia="fr-FR"/>
        </w:rPr>
      </w:pPr>
      <w:proofErr w:type="gramStart"/>
      <w:r w:rsidRPr="00C320CE">
        <w:rPr>
          <w:rFonts w:ascii="Arial" w:eastAsia="Times New Roman" w:hAnsi="Arial" w:cs="Arial"/>
          <w:position w:val="-2"/>
          <w:sz w:val="24"/>
          <w:szCs w:val="24"/>
          <w:bdr w:val="none" w:sz="0" w:space="0" w:color="auto" w:frame="1"/>
          <w:lang w:eastAsia="fr-FR"/>
        </w:rPr>
        <w:t>▪  </w:t>
      </w:r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The</w:t>
      </w:r>
      <w:proofErr w:type="gram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learning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poverty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rate, i.e. “the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share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of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children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who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cannot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read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a simple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text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with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comprehension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by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age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10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was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the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highest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in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sub-Saharan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Africa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before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the COVID-19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pandemic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, at 86%. This rate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is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likely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to have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worsened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after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the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pandemic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,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estimated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now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at 90%. This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means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that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nine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out of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ten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children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cannot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read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a simple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text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with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comprehension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by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age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10.</w:t>
      </w:r>
    </w:p>
    <w:p w:rsidR="00C320CE" w:rsidRPr="00C320CE" w:rsidRDefault="00C320CE" w:rsidP="00C320CE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1"/>
          <w:szCs w:val="21"/>
          <w:lang w:eastAsia="fr-FR"/>
        </w:rPr>
      </w:pPr>
      <w:proofErr w:type="gram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▪  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Africa</w:t>
      </w:r>
      <w:proofErr w:type="spellEnd"/>
      <w:proofErr w:type="gram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will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need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17 million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additional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teachers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in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order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to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achieve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universal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primary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and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secondary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education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by 2030.</w:t>
      </w:r>
    </w:p>
    <w:p w:rsidR="00C320CE" w:rsidRPr="00C320CE" w:rsidRDefault="00C320CE" w:rsidP="00C320CE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1"/>
          <w:szCs w:val="21"/>
          <w:lang w:eastAsia="fr-FR"/>
        </w:rPr>
      </w:pPr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At the global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level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, and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within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the Global Education Coordination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Mechanism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framework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,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led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by UNESCO, the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African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Union has been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a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key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player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in the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regional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gram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coordination</w:t>
      </w:r>
      <w:proofErr w:type="gram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of CESA and SDG4 support for and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cooperation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among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countries. This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is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through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convening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Member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States and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partners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and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making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critical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contributions to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promoting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evidence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use,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priority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setting,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peer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learning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and monitoring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mechanism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.</w:t>
      </w:r>
    </w:p>
    <w:p w:rsidR="00C320CE" w:rsidRPr="00C320CE" w:rsidRDefault="00C320CE" w:rsidP="00C320CE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1"/>
          <w:szCs w:val="21"/>
          <w:lang w:eastAsia="fr-FR"/>
        </w:rPr>
      </w:pP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Similarly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, at the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African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Union’s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 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fldChar w:fldCharType="begin"/>
      </w:r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instrText xml:space="preserve"> HYPERLINK "https://au.int/en/pressreleases/20220829/fourth-ordinary-session-specialized-technical-committee-est-responsive-and" </w:instrText>
      </w:r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fldChar w:fldCharType="separate"/>
      </w:r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Specialized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Technical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Committee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on Education, Science,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Technology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and Innovation (STC-EST4) 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fldChar w:fldCharType="end"/>
      </w:r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held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on 1</w:t>
      </w:r>
      <w:r w:rsidRPr="00C320CE">
        <w:rPr>
          <w:rFonts w:ascii="Arial" w:eastAsia="Times New Roman" w:hAnsi="Arial" w:cs="Arial"/>
          <w:position w:val="6"/>
          <w:sz w:val="24"/>
          <w:szCs w:val="24"/>
          <w:bdr w:val="none" w:sz="0" w:space="0" w:color="auto" w:frame="1"/>
          <w:lang w:eastAsia="fr-FR"/>
        </w:rPr>
        <w:t>st </w:t>
      </w:r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and 2</w:t>
      </w:r>
      <w:proofErr w:type="spellStart"/>
      <w:r w:rsidRPr="00C320CE">
        <w:rPr>
          <w:rFonts w:ascii="Arial" w:eastAsia="Times New Roman" w:hAnsi="Arial" w:cs="Arial"/>
          <w:position w:val="6"/>
          <w:sz w:val="24"/>
          <w:szCs w:val="24"/>
          <w:bdr w:val="none" w:sz="0" w:space="0" w:color="auto" w:frame="1"/>
          <w:lang w:eastAsia="fr-FR"/>
        </w:rPr>
        <w:t>nd</w:t>
      </w:r>
      <w:proofErr w:type="spellEnd"/>
      <w:r w:rsidRPr="00C320CE">
        <w:rPr>
          <w:rFonts w:ascii="Arial" w:eastAsia="Times New Roman" w:hAnsi="Arial" w:cs="Arial"/>
          <w:position w:val="6"/>
          <w:sz w:val="24"/>
          <w:szCs w:val="24"/>
          <w:bdr w:val="none" w:sz="0" w:space="0" w:color="auto" w:frame="1"/>
          <w:lang w:eastAsia="fr-FR"/>
        </w:rPr>
        <w:t> 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September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2022,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Ministers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, in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their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declaration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on Education, Science,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Technology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and Innovation,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requested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the AU Commission to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facilitate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the adoption by the AU of an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education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related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theme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for the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year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for 2024, to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address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the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burden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and disruptions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caused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by COVID-19 on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education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systems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,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promote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the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systematic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implementation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of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transforming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education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in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Africa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and for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accelerated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implementation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of CESA 2016-2025 and SDG 4.</w:t>
      </w:r>
    </w:p>
    <w:p w:rsidR="00C320CE" w:rsidRPr="00C320CE" w:rsidRDefault="00C320CE" w:rsidP="00C320CE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1"/>
          <w:szCs w:val="21"/>
          <w:lang w:eastAsia="fr-FR"/>
        </w:rPr>
      </w:pPr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Progress in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education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has a far-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reaching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impact on all the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other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aspects of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human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capital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development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. The large population of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young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people in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Africa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is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a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powerful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source of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economic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growth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and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progress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,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provided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it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receives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quality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education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and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skills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for the 21</w:t>
      </w:r>
      <w:r w:rsidRPr="00C320CE">
        <w:rPr>
          <w:rFonts w:ascii="Arial" w:eastAsia="Times New Roman" w:hAnsi="Arial" w:cs="Arial"/>
          <w:position w:val="6"/>
          <w:sz w:val="24"/>
          <w:szCs w:val="24"/>
          <w:bdr w:val="none" w:sz="0" w:space="0" w:color="auto" w:frame="1"/>
          <w:lang w:eastAsia="fr-FR"/>
        </w:rPr>
        <w:t>st 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century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job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opportunities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.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Investing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in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education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is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thus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, the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most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effective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investment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in the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fight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against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poverty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,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reducing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gender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inequalities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,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enabling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people to survive and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thrive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, and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helping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to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improve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socio-economic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development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. Education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is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also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associated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with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more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peaceful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communities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,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greater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civic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engagement, and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stronger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democracies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.</w:t>
      </w:r>
    </w:p>
    <w:p w:rsidR="00C320CE" w:rsidRPr="00C320CE" w:rsidRDefault="00C320CE" w:rsidP="00C320CE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1"/>
          <w:szCs w:val="21"/>
          <w:lang w:eastAsia="fr-FR"/>
        </w:rPr>
      </w:pP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Year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2024,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dedicated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to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education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in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Africa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,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will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be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an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opportunity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for the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African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Union to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re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-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galvanize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Member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States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towards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the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achievement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of CESA and SDG4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targets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.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Importantly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,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this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will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come as a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follow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-up to the STC-EST4, AU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Declarations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, the Urgent Call for Action by the SDG4 High-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level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Steering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Committee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and the UN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Secretary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General’s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Vision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Statement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on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Transforming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Education. It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will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engage the </w:t>
      </w:r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lastRenderedPageBreak/>
        <w:t xml:space="preserve">AU Commission to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mobilize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governments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and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development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partners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to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rethink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the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models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of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education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and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skill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development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needed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for the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Africa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We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Want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in the 21</w:t>
      </w:r>
      <w:r w:rsidRPr="00C320CE">
        <w:rPr>
          <w:rFonts w:ascii="Arial" w:eastAsia="Times New Roman" w:hAnsi="Arial" w:cs="Arial"/>
          <w:position w:val="6"/>
          <w:sz w:val="24"/>
          <w:szCs w:val="24"/>
          <w:bdr w:val="none" w:sz="0" w:space="0" w:color="auto" w:frame="1"/>
          <w:lang w:eastAsia="fr-FR"/>
        </w:rPr>
        <w:t>st 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century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.</w:t>
      </w:r>
    </w:p>
    <w:p w:rsidR="00C320CE" w:rsidRPr="00C320CE" w:rsidRDefault="00C320CE" w:rsidP="00C320CE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1"/>
          <w:szCs w:val="21"/>
          <w:lang w:eastAsia="fr-FR"/>
        </w:rPr>
      </w:pPr>
      <w:r w:rsidRPr="00C320CE">
        <w:rPr>
          <w:rFonts w:ascii="inherit" w:eastAsia="Times New Roman" w:hAnsi="inherit" w:cs="Arial"/>
          <w:b/>
          <w:bCs/>
          <w:sz w:val="30"/>
          <w:szCs w:val="30"/>
          <w:bdr w:val="none" w:sz="0" w:space="0" w:color="auto" w:frame="1"/>
          <w:lang w:eastAsia="fr-FR"/>
        </w:rPr>
        <w:t>The Call:</w:t>
      </w:r>
    </w:p>
    <w:p w:rsidR="00C320CE" w:rsidRPr="00C320CE" w:rsidRDefault="00C320CE" w:rsidP="00C320CE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1"/>
          <w:szCs w:val="21"/>
          <w:lang w:eastAsia="fr-FR"/>
        </w:rPr>
      </w:pP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Referencing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decisions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or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declarations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of the AU as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well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as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other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documented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pronouncements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and actions by the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African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Union, and in line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with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the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theme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of the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year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,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interested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parties are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hereby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called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upon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to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submit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for the 2024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edition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of the AU ECHO, incisive and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evidence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based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articles on the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potential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of and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progress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made in the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implementation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or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mainstreaming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of AU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decisions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in the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field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of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education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as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well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gram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as</w:t>
      </w:r>
      <w:proofErr w:type="gram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initiatives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that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are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being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undertaken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at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institutional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, country and continental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levels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to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promote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education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,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based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on the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AU’s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decisions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and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declarations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. Articles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may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also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be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dedicated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to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activities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held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to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celebrate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the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African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Day of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School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Feeding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i.e. 1st March in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their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countries or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regions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.</w:t>
      </w:r>
    </w:p>
    <w:p w:rsidR="00C320CE" w:rsidRPr="00C320CE" w:rsidRDefault="00C320CE" w:rsidP="00C320CE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1"/>
          <w:szCs w:val="21"/>
          <w:lang w:eastAsia="fr-FR"/>
        </w:rPr>
      </w:pP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Submissions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should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be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based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on the Continental Education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Strategy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for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Africa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(CESA 16-25). </w:t>
      </w:r>
      <w:hyperlink r:id="rId9" w:history="1">
        <w:r w:rsidRPr="00C320CE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fr-FR"/>
          </w:rPr>
          <w:t>https://au.int/node/29514</w:t>
        </w:r>
      </w:hyperlink>
    </w:p>
    <w:p w:rsidR="00C320CE" w:rsidRPr="00C320CE" w:rsidRDefault="00C320CE" w:rsidP="00C320CE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1"/>
          <w:szCs w:val="21"/>
          <w:lang w:eastAsia="fr-FR"/>
        </w:rPr>
      </w:pPr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To support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their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arguments,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writers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should</w:t>
      </w:r>
      <w:proofErr w:type="spellEnd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reference</w:t>
      </w:r>
      <w:proofErr w:type="spellEnd"/>
    </w:p>
    <w:p w:rsidR="00C320CE" w:rsidRPr="00C320CE" w:rsidRDefault="00C320CE" w:rsidP="00C320CE">
      <w:pPr>
        <w:numPr>
          <w:ilvl w:val="0"/>
          <w:numId w:val="6"/>
        </w:numPr>
        <w:shd w:val="clear" w:color="auto" w:fill="FFFFFF"/>
        <w:spacing w:after="0" w:line="384" w:lineRule="atLeast"/>
        <w:ind w:left="426" w:hanging="284"/>
        <w:jc w:val="both"/>
        <w:textAlignment w:val="baseline"/>
        <w:rPr>
          <w:rFonts w:ascii="Symbol" w:eastAsia="Times New Roman" w:hAnsi="Symbol" w:cs="Times New Roman"/>
          <w:position w:val="2"/>
          <w:lang w:eastAsia="fr-FR"/>
        </w:rPr>
      </w:pPr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Agenda 2063,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available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here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 </w:t>
      </w:r>
      <w:hyperlink r:id="rId10" w:history="1">
        <w:r w:rsidRPr="00C320CE">
          <w:rPr>
            <w:rFonts w:ascii="Arial" w:eastAsia="Times New Roman" w:hAnsi="Arial" w:cs="Arial"/>
            <w:position w:val="2"/>
            <w:sz w:val="24"/>
            <w:szCs w:val="24"/>
            <w:bdr w:val="none" w:sz="0" w:space="0" w:color="auto" w:frame="1"/>
            <w:lang w:eastAsia="fr-FR"/>
          </w:rPr>
          <w:t>https://au.int/agenda2063/overview</w:t>
        </w:r>
      </w:hyperlink>
    </w:p>
    <w:p w:rsidR="00C320CE" w:rsidRPr="00C320CE" w:rsidRDefault="00C320CE" w:rsidP="00C320CE">
      <w:pPr>
        <w:numPr>
          <w:ilvl w:val="0"/>
          <w:numId w:val="6"/>
        </w:numPr>
        <w:shd w:val="clear" w:color="auto" w:fill="FFFFFF"/>
        <w:spacing w:after="0" w:line="384" w:lineRule="atLeast"/>
        <w:ind w:left="426" w:hanging="284"/>
        <w:jc w:val="both"/>
        <w:textAlignment w:val="baseline"/>
        <w:rPr>
          <w:rFonts w:ascii="Symbol" w:eastAsia="Times New Roman" w:hAnsi="Symbol" w:cs="Times New Roman"/>
          <w:position w:val="2"/>
          <w:lang w:eastAsia="fr-FR"/>
        </w:rPr>
      </w:pPr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Relevant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treaties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of the AU</w:t>
      </w:r>
      <w:r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   </w:t>
      </w:r>
      <w:hyperlink r:id="rId11" w:history="1">
        <w:r w:rsidRPr="00CA6C7E">
          <w:rPr>
            <w:rStyle w:val="Lienhypertexte"/>
            <w:rFonts w:ascii="Arial" w:eastAsia="Times New Roman" w:hAnsi="Arial" w:cs="Arial"/>
            <w:position w:val="2"/>
            <w:sz w:val="24"/>
            <w:szCs w:val="24"/>
            <w:bdr w:val="none" w:sz="0" w:space="0" w:color="auto" w:frame="1"/>
            <w:lang w:eastAsia="fr-FR"/>
          </w:rPr>
          <w:t>https://au.int/en/treaties</w:t>
        </w:r>
        <w:r w:rsidRPr="00CA6C7E">
          <w:rPr>
            <w:rStyle w:val="Lienhypertexte"/>
            <w:rFonts w:ascii="Arial" w:eastAsia="Times New Roman" w:hAnsi="Arial" w:cs="Arial"/>
            <w:position w:val="2"/>
            <w:sz w:val="24"/>
            <w:szCs w:val="24"/>
            <w:bdr w:val="none" w:sz="0" w:space="0" w:color="auto" w:frame="1"/>
            <w:lang w:eastAsia="fr-FR"/>
          </w:rPr>
          <w:t xml:space="preserve">  </w:t>
        </w:r>
      </w:hyperlink>
    </w:p>
    <w:p w:rsidR="00C320CE" w:rsidRPr="00C320CE" w:rsidRDefault="00C320CE" w:rsidP="00C320CE">
      <w:pPr>
        <w:numPr>
          <w:ilvl w:val="0"/>
          <w:numId w:val="6"/>
        </w:numPr>
        <w:shd w:val="clear" w:color="auto" w:fill="FFFFFF"/>
        <w:spacing w:after="0" w:line="384" w:lineRule="atLeast"/>
        <w:ind w:left="426" w:hanging="284"/>
        <w:jc w:val="both"/>
        <w:textAlignment w:val="baseline"/>
        <w:rPr>
          <w:rFonts w:ascii="Symbol" w:eastAsia="Times New Roman" w:hAnsi="Symbol" w:cs="Times New Roman"/>
          <w:position w:val="2"/>
          <w:lang w:eastAsia="fr-FR"/>
        </w:rPr>
      </w:pPr>
    </w:p>
    <w:p w:rsidR="00C320CE" w:rsidRPr="00C320CE" w:rsidRDefault="00C320CE" w:rsidP="00C320CE">
      <w:pPr>
        <w:shd w:val="clear" w:color="auto" w:fill="FFFFFF"/>
        <w:spacing w:after="0" w:line="384" w:lineRule="atLeast"/>
        <w:ind w:left="142"/>
        <w:jc w:val="both"/>
        <w:textAlignment w:val="baseline"/>
        <w:rPr>
          <w:rFonts w:ascii="Symbol" w:eastAsia="Times New Roman" w:hAnsi="Symbol" w:cs="Times New Roman"/>
          <w:position w:val="2"/>
          <w:lang w:eastAsia="fr-FR"/>
        </w:rPr>
      </w:pPr>
      <w:proofErr w:type="spellStart"/>
      <w:r w:rsidRPr="00C320CE">
        <w:rPr>
          <w:rFonts w:ascii="inherit" w:eastAsia="Times New Roman" w:hAnsi="inherit" w:cs="Arial"/>
          <w:b/>
          <w:bCs/>
          <w:position w:val="2"/>
          <w:sz w:val="30"/>
          <w:szCs w:val="30"/>
          <w:bdr w:val="none" w:sz="0" w:space="0" w:color="auto" w:frame="1"/>
          <w:lang w:eastAsia="fr-FR"/>
        </w:rPr>
        <w:t>Other</w:t>
      </w:r>
      <w:proofErr w:type="spellEnd"/>
      <w:r w:rsidRPr="00C320CE">
        <w:rPr>
          <w:rFonts w:ascii="inherit" w:eastAsia="Times New Roman" w:hAnsi="inherit" w:cs="Arial"/>
          <w:b/>
          <w:bCs/>
          <w:position w:val="2"/>
          <w:sz w:val="30"/>
          <w:szCs w:val="30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inherit" w:eastAsia="Times New Roman" w:hAnsi="inherit" w:cs="Arial"/>
          <w:b/>
          <w:bCs/>
          <w:position w:val="2"/>
          <w:sz w:val="30"/>
          <w:szCs w:val="30"/>
          <w:bdr w:val="none" w:sz="0" w:space="0" w:color="auto" w:frame="1"/>
          <w:lang w:eastAsia="fr-FR"/>
        </w:rPr>
        <w:t>useful</w:t>
      </w:r>
      <w:proofErr w:type="spellEnd"/>
      <w:r w:rsidRPr="00C320CE">
        <w:rPr>
          <w:rFonts w:ascii="inherit" w:eastAsia="Times New Roman" w:hAnsi="inherit" w:cs="Arial"/>
          <w:b/>
          <w:bCs/>
          <w:position w:val="2"/>
          <w:sz w:val="30"/>
          <w:szCs w:val="30"/>
          <w:bdr w:val="none" w:sz="0" w:space="0" w:color="auto" w:frame="1"/>
          <w:lang w:eastAsia="fr-FR"/>
        </w:rPr>
        <w:t xml:space="preserve"> source documents are:</w:t>
      </w:r>
    </w:p>
    <w:p w:rsidR="00C320CE" w:rsidRPr="00C320CE" w:rsidRDefault="00C320CE" w:rsidP="00C320CE">
      <w:pPr>
        <w:pStyle w:val="Paragraphedeliste"/>
        <w:numPr>
          <w:ilvl w:val="0"/>
          <w:numId w:val="8"/>
        </w:numPr>
        <w:shd w:val="clear" w:color="auto" w:fill="FFFFFF"/>
        <w:spacing w:after="0" w:line="384" w:lineRule="atLeast"/>
        <w:jc w:val="both"/>
        <w:textAlignment w:val="baseline"/>
        <w:rPr>
          <w:rFonts w:ascii="Symbol" w:eastAsia="Times New Roman" w:hAnsi="Symbol" w:cs="Times New Roman"/>
          <w:position w:val="2"/>
          <w:lang w:eastAsia="fr-FR"/>
        </w:rPr>
      </w:pP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Statute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of the Pan-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African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University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(PAU)   </w:t>
      </w:r>
      <w:hyperlink r:id="rId12" w:history="1">
        <w:r w:rsidRPr="00C320CE">
          <w:rPr>
            <w:rStyle w:val="Lienhypertexte"/>
            <w:rFonts w:ascii="Arial" w:eastAsia="Times New Roman" w:hAnsi="Arial" w:cs="Arial"/>
            <w:position w:val="2"/>
            <w:sz w:val="24"/>
            <w:szCs w:val="24"/>
            <w:bdr w:val="none" w:sz="0" w:space="0" w:color="auto" w:frame="1"/>
            <w:lang w:eastAsia="fr-FR"/>
          </w:rPr>
          <w:t xml:space="preserve">https://au.int/node/33127 </w:t>
        </w:r>
      </w:hyperlink>
    </w:p>
    <w:p w:rsidR="00C320CE" w:rsidRPr="00C320CE" w:rsidRDefault="00C320CE" w:rsidP="00C320CE">
      <w:pPr>
        <w:pStyle w:val="Paragraphedeliste"/>
        <w:numPr>
          <w:ilvl w:val="0"/>
          <w:numId w:val="8"/>
        </w:num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</w:pPr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The Continental TVET Strategy </w:t>
      </w:r>
      <w:hyperlink r:id="rId13" w:history="1">
        <w:r w:rsidRPr="00C320CE">
          <w:rPr>
            <w:rStyle w:val="Lienhypertexte"/>
            <w:rFonts w:ascii="Arial" w:eastAsia="Times New Roman" w:hAnsi="Arial" w:cs="Arial"/>
            <w:position w:val="2"/>
            <w:sz w:val="24"/>
            <w:szCs w:val="24"/>
            <w:bdr w:val="none" w:sz="0" w:space="0" w:color="auto" w:frame="1"/>
            <w:lang w:eastAsia="fr-FR"/>
          </w:rPr>
          <w:t>https://au.int/en/documents/20181022/continental-strategy-technical-and-vocational-educational-and-training-tvet</w:t>
        </w:r>
      </w:hyperlink>
    </w:p>
    <w:p w:rsidR="00C320CE" w:rsidRPr="00C320CE" w:rsidRDefault="00C320CE" w:rsidP="00C320CE">
      <w:pPr>
        <w:pStyle w:val="Paragraphedeliste"/>
        <w:numPr>
          <w:ilvl w:val="0"/>
          <w:numId w:val="8"/>
        </w:numPr>
        <w:shd w:val="clear" w:color="auto" w:fill="FFFFFF"/>
        <w:spacing w:after="0" w:line="384" w:lineRule="atLeast"/>
        <w:jc w:val="both"/>
        <w:textAlignment w:val="baseline"/>
        <w:rPr>
          <w:rFonts w:ascii="Symbol" w:eastAsia="Times New Roman" w:hAnsi="Symbol" w:cs="Times New Roman"/>
          <w:position w:val="2"/>
          <w:lang w:eastAsia="fr-FR"/>
        </w:rPr>
      </w:pP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Statute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of the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African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Union International Centre for Girls’ and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Women’s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Education in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Africa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(AU/CIEFFA) </w:t>
      </w:r>
      <w:hyperlink r:id="rId14" w:history="1">
        <w:r w:rsidRPr="00C320CE">
          <w:rPr>
            <w:rStyle w:val="Lienhypertexte"/>
            <w:rFonts w:ascii="Arial" w:eastAsia="Times New Roman" w:hAnsi="Arial" w:cs="Arial"/>
            <w:position w:val="2"/>
            <w:sz w:val="24"/>
            <w:szCs w:val="24"/>
            <w:bdr w:val="none" w:sz="0" w:space="0" w:color="auto" w:frame="1"/>
            <w:lang w:eastAsia="fr-FR"/>
          </w:rPr>
          <w:t>https://cieffa.au.int/sites/default/files/files/2022-04/statuteau-cieffaeng.pdf</w:t>
        </w:r>
      </w:hyperlink>
    </w:p>
    <w:p w:rsidR="00C320CE" w:rsidRPr="00C320CE" w:rsidRDefault="00C320CE" w:rsidP="00C320CE">
      <w:pPr>
        <w:pStyle w:val="Paragraphedeliste"/>
        <w:numPr>
          <w:ilvl w:val="0"/>
          <w:numId w:val="8"/>
        </w:numPr>
        <w:shd w:val="clear" w:color="auto" w:fill="FFFFFF"/>
        <w:spacing w:after="0" w:line="384" w:lineRule="atLeast"/>
        <w:jc w:val="both"/>
        <w:textAlignment w:val="baseline"/>
        <w:rPr>
          <w:rFonts w:ascii="Symbol" w:eastAsia="Times New Roman" w:hAnsi="Symbol" w:cs="Times New Roman"/>
          <w:position w:val="2"/>
          <w:lang w:eastAsia="fr-FR"/>
        </w:rPr>
      </w:pPr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The AU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Strategy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for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Gender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Equality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and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Women’s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Empowerment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 </w:t>
      </w:r>
    </w:p>
    <w:p w:rsidR="00C320CE" w:rsidRPr="00C320CE" w:rsidRDefault="00C320CE" w:rsidP="00C320CE">
      <w:pPr>
        <w:pStyle w:val="Paragraphedeliste"/>
        <w:numPr>
          <w:ilvl w:val="0"/>
          <w:numId w:val="8"/>
        </w:numPr>
        <w:shd w:val="clear" w:color="auto" w:fill="FFFFFF"/>
        <w:spacing w:after="0" w:line="384" w:lineRule="atLeast"/>
        <w:jc w:val="both"/>
        <w:textAlignment w:val="baseline"/>
        <w:rPr>
          <w:rFonts w:ascii="Symbol" w:eastAsia="Times New Roman" w:hAnsi="Symbol" w:cs="Times New Roman"/>
          <w:position w:val="2"/>
          <w:lang w:eastAsia="fr-FR"/>
        </w:rPr>
      </w:pPr>
      <w:hyperlink r:id="rId15" w:history="1">
        <w:r w:rsidRPr="00C320CE">
          <w:rPr>
            <w:rStyle w:val="Lienhypertexte"/>
            <w:rFonts w:ascii="Arial" w:eastAsia="Times New Roman" w:hAnsi="Arial" w:cs="Arial"/>
            <w:position w:val="2"/>
            <w:sz w:val="24"/>
            <w:szCs w:val="24"/>
            <w:bdr w:val="none" w:sz="0" w:space="0" w:color="auto" w:frame="1"/>
            <w:lang w:eastAsia="fr-FR"/>
          </w:rPr>
          <w:t>https://au.int/node/36195</w:t>
        </w:r>
      </w:hyperlink>
    </w:p>
    <w:p w:rsidR="00C320CE" w:rsidRPr="00C320CE" w:rsidRDefault="00C320CE" w:rsidP="00C320CE">
      <w:pPr>
        <w:pStyle w:val="Paragraphedeliste"/>
        <w:numPr>
          <w:ilvl w:val="0"/>
          <w:numId w:val="8"/>
        </w:numPr>
        <w:shd w:val="clear" w:color="auto" w:fill="FFFFFF"/>
        <w:spacing w:after="0" w:line="384" w:lineRule="atLeast"/>
        <w:textAlignment w:val="baseline"/>
        <w:rPr>
          <w:rFonts w:ascii="Symbol" w:eastAsia="Times New Roman" w:hAnsi="Symbol" w:cs="Times New Roman"/>
          <w:position w:val="2"/>
          <w:lang w:eastAsia="fr-FR"/>
        </w:rPr>
      </w:pP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View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previous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editions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of the AU ECHO</w:t>
      </w:r>
      <w:r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 :</w:t>
      </w:r>
      <w:bookmarkStart w:id="0" w:name="_GoBack"/>
      <w:bookmarkEnd w:id="0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 </w:t>
      </w:r>
      <w:hyperlink r:id="rId16" w:history="1">
        <w:r w:rsidRPr="00CA6C7E">
          <w:rPr>
            <w:rStyle w:val="Lienhypertexte"/>
            <w:rFonts w:ascii="Arial" w:eastAsia="Times New Roman" w:hAnsi="Arial" w:cs="Arial"/>
            <w:position w:val="2"/>
            <w:sz w:val="24"/>
            <w:szCs w:val="24"/>
            <w:bdr w:val="none" w:sz="0" w:space="0" w:color="auto" w:frame="1"/>
            <w:lang w:eastAsia="fr-FR"/>
          </w:rPr>
          <w:t>https://au.int/en/documents/1148</w:t>
        </w:r>
      </w:hyperlink>
      <w:r w:rsidRPr="00C320CE">
        <w:rPr>
          <w:rFonts w:ascii="Symbol" w:eastAsia="Times New Roman" w:hAnsi="Symbol" w:cs="Times New Roman"/>
          <w:position w:val="2"/>
          <w:lang w:eastAsia="fr-FR"/>
        </w:rPr>
        <w:br/>
      </w:r>
      <w:r w:rsidRPr="00C320CE">
        <w:rPr>
          <w:rFonts w:ascii="Symbol" w:eastAsia="Times New Roman" w:hAnsi="Symbol" w:cs="Times New Roman"/>
          <w:position w:val="2"/>
          <w:lang w:eastAsia="fr-FR"/>
        </w:rPr>
        <w:br/>
      </w:r>
      <w:r w:rsidRPr="00C320CE">
        <w:rPr>
          <w:rFonts w:ascii="Symbol" w:eastAsia="Times New Roman" w:hAnsi="Symbol" w:cs="Times New Roman"/>
          <w:position w:val="2"/>
          <w:lang w:eastAsia="fr-FR"/>
        </w:rPr>
        <w:br/>
      </w:r>
      <w:proofErr w:type="spellStart"/>
      <w:r w:rsidRPr="00C320CE">
        <w:rPr>
          <w:rFonts w:ascii="inherit" w:eastAsia="Times New Roman" w:hAnsi="inherit" w:cs="Arial"/>
          <w:b/>
          <w:bCs/>
          <w:position w:val="2"/>
          <w:sz w:val="30"/>
          <w:szCs w:val="30"/>
          <w:bdr w:val="none" w:sz="0" w:space="0" w:color="auto" w:frame="1"/>
          <w:lang w:eastAsia="fr-FR"/>
        </w:rPr>
        <w:t>Submission</w:t>
      </w:r>
      <w:proofErr w:type="spellEnd"/>
      <w:r w:rsidRPr="00C320CE">
        <w:rPr>
          <w:rFonts w:ascii="inherit" w:eastAsia="Times New Roman" w:hAnsi="inherit" w:cs="Arial"/>
          <w:b/>
          <w:bCs/>
          <w:position w:val="2"/>
          <w:sz w:val="30"/>
          <w:szCs w:val="30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inherit" w:eastAsia="Times New Roman" w:hAnsi="inherit" w:cs="Arial"/>
          <w:b/>
          <w:bCs/>
          <w:position w:val="2"/>
          <w:sz w:val="30"/>
          <w:szCs w:val="30"/>
          <w:bdr w:val="none" w:sz="0" w:space="0" w:color="auto" w:frame="1"/>
          <w:lang w:eastAsia="fr-FR"/>
        </w:rPr>
        <w:t>Requirements</w:t>
      </w:r>
      <w:proofErr w:type="spellEnd"/>
      <w:r w:rsidRPr="00C320CE">
        <w:rPr>
          <w:rFonts w:ascii="inherit" w:eastAsia="Times New Roman" w:hAnsi="inherit" w:cs="Arial"/>
          <w:b/>
          <w:bCs/>
          <w:position w:val="2"/>
          <w:sz w:val="30"/>
          <w:szCs w:val="30"/>
          <w:bdr w:val="none" w:sz="0" w:space="0" w:color="auto" w:frame="1"/>
          <w:lang w:eastAsia="fr-FR"/>
        </w:rPr>
        <w:t xml:space="preserve"> &amp; Deadline:</w:t>
      </w:r>
    </w:p>
    <w:p w:rsidR="00C320CE" w:rsidRPr="00C320CE" w:rsidRDefault="00C320CE" w:rsidP="00C320CE">
      <w:pPr>
        <w:numPr>
          <w:ilvl w:val="0"/>
          <w:numId w:val="4"/>
        </w:numPr>
        <w:shd w:val="clear" w:color="auto" w:fill="FFFFFF"/>
        <w:spacing w:after="0" w:line="384" w:lineRule="atLeast"/>
        <w:ind w:left="0"/>
        <w:jc w:val="both"/>
        <w:textAlignment w:val="baseline"/>
        <w:rPr>
          <w:rFonts w:ascii="Symbol" w:eastAsia="Times New Roman" w:hAnsi="Symbol" w:cs="Times New Roman"/>
          <w:position w:val="2"/>
          <w:lang w:eastAsia="fr-FR"/>
        </w:rPr>
      </w:pPr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Original contributions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will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be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accepted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from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institutions,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organs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and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employees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of the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African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Union, AU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member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states,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African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academic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institutions,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think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tanks, civil </w:t>
      </w:r>
      <w:proofErr w:type="gram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lastRenderedPageBreak/>
        <w:t>society</w:t>
      </w:r>
      <w:proofErr w:type="gram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organisations and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representative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groups (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e.g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.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women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,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youth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),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industry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experts and the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wider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African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public. The editors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reserve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the right to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reject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papers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they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deem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to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be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inconsistent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with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the guidelines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outlined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in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this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call for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papers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.</w:t>
      </w:r>
    </w:p>
    <w:p w:rsidR="00C320CE" w:rsidRPr="00C320CE" w:rsidRDefault="00C320CE" w:rsidP="00C320CE">
      <w:pPr>
        <w:numPr>
          <w:ilvl w:val="0"/>
          <w:numId w:val="4"/>
        </w:numPr>
        <w:shd w:val="clear" w:color="auto" w:fill="FFFFFF"/>
        <w:spacing w:after="0" w:line="384" w:lineRule="atLeast"/>
        <w:ind w:left="0"/>
        <w:jc w:val="both"/>
        <w:textAlignment w:val="baseline"/>
        <w:rPr>
          <w:rFonts w:ascii="Symbol" w:eastAsia="Times New Roman" w:hAnsi="Symbol" w:cs="Times New Roman"/>
          <w:position w:val="2"/>
          <w:lang w:eastAsia="fr-FR"/>
        </w:rPr>
      </w:pPr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A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connection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should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be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made to the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theme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outlined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on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this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concept note, and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its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objectives</w:t>
      </w:r>
    </w:p>
    <w:p w:rsidR="00C320CE" w:rsidRPr="00C320CE" w:rsidRDefault="00C320CE" w:rsidP="00C320CE">
      <w:pPr>
        <w:numPr>
          <w:ilvl w:val="0"/>
          <w:numId w:val="4"/>
        </w:numPr>
        <w:shd w:val="clear" w:color="auto" w:fill="FFFFFF"/>
        <w:spacing w:after="0" w:line="384" w:lineRule="atLeast"/>
        <w:ind w:left="0"/>
        <w:jc w:val="both"/>
        <w:textAlignment w:val="baseline"/>
        <w:rPr>
          <w:rFonts w:ascii="Symbol" w:eastAsia="Times New Roman" w:hAnsi="Symbol" w:cs="Times New Roman"/>
          <w:position w:val="2"/>
          <w:lang w:eastAsia="fr-FR"/>
        </w:rPr>
      </w:pP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Languages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: Articles for publication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may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be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submitted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in English or French.</w:t>
      </w:r>
    </w:p>
    <w:p w:rsidR="00C320CE" w:rsidRPr="00C320CE" w:rsidRDefault="00C320CE" w:rsidP="00C320CE">
      <w:pPr>
        <w:numPr>
          <w:ilvl w:val="0"/>
          <w:numId w:val="4"/>
        </w:numPr>
        <w:shd w:val="clear" w:color="auto" w:fill="FFFFFF"/>
        <w:spacing w:after="0" w:line="384" w:lineRule="atLeast"/>
        <w:ind w:left="0"/>
        <w:jc w:val="both"/>
        <w:textAlignment w:val="baseline"/>
        <w:rPr>
          <w:rFonts w:ascii="Symbol" w:eastAsia="Times New Roman" w:hAnsi="Symbol" w:cs="Times New Roman"/>
          <w:position w:val="2"/>
          <w:lang w:eastAsia="fr-FR"/>
        </w:rPr>
      </w:pPr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Word count: Not more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than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1500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words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per article.</w:t>
      </w:r>
    </w:p>
    <w:p w:rsidR="00C320CE" w:rsidRPr="00C320CE" w:rsidRDefault="00C320CE" w:rsidP="00C320CE">
      <w:pPr>
        <w:numPr>
          <w:ilvl w:val="0"/>
          <w:numId w:val="5"/>
        </w:numPr>
        <w:shd w:val="clear" w:color="auto" w:fill="FFFFFF"/>
        <w:spacing w:after="0" w:line="384" w:lineRule="atLeast"/>
        <w:ind w:left="0"/>
        <w:jc w:val="both"/>
        <w:textAlignment w:val="baseline"/>
        <w:rPr>
          <w:rFonts w:ascii="Symbol" w:eastAsia="Times New Roman" w:hAnsi="Symbol" w:cs="Times New Roman"/>
          <w:position w:val="2"/>
          <w:lang w:eastAsia="fr-FR"/>
        </w:rPr>
      </w:pPr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Images: Pertinent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photographs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and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other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illustrations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that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enhance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the articles are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welcome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and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should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be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sent in the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same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email as the article.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These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must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be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original to the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author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and/or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be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under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a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creative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common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license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.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Authors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must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confirm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their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ownership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of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such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illustrations and captions must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be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provided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.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Photographs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should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me a minimum 1mb in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resolution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and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should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be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sent as a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separate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attachment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to the article.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Embedding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photographs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in a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word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file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may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lead to disqualification. No PDF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submissions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will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be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accepted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.</w:t>
      </w:r>
    </w:p>
    <w:p w:rsidR="00C320CE" w:rsidRPr="00C320CE" w:rsidRDefault="00C320CE" w:rsidP="00C320CE">
      <w:pPr>
        <w:numPr>
          <w:ilvl w:val="0"/>
          <w:numId w:val="5"/>
        </w:numPr>
        <w:shd w:val="clear" w:color="auto" w:fill="FFFFFF"/>
        <w:spacing w:after="0" w:line="384" w:lineRule="atLeast"/>
        <w:ind w:left="0"/>
        <w:jc w:val="both"/>
        <w:textAlignment w:val="baseline"/>
        <w:rPr>
          <w:rFonts w:ascii="Symbol" w:eastAsia="Times New Roman" w:hAnsi="Symbol" w:cs="Times New Roman"/>
          <w:position w:val="2"/>
          <w:lang w:eastAsia="fr-FR"/>
        </w:rPr>
      </w:pPr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All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submissions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must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contain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the full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name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and contact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details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of the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sender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,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his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/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her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organization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/ job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title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(if applicable), and a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brief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summary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of the article.</w:t>
      </w:r>
    </w:p>
    <w:p w:rsidR="00C320CE" w:rsidRPr="00C320CE" w:rsidRDefault="00C320CE" w:rsidP="00C320CE">
      <w:pPr>
        <w:numPr>
          <w:ilvl w:val="0"/>
          <w:numId w:val="5"/>
        </w:numPr>
        <w:shd w:val="clear" w:color="auto" w:fill="FFFFFF"/>
        <w:spacing w:after="0" w:line="384" w:lineRule="atLeast"/>
        <w:ind w:left="0"/>
        <w:jc w:val="both"/>
        <w:textAlignment w:val="baseline"/>
        <w:rPr>
          <w:rFonts w:ascii="Symbol" w:eastAsia="Times New Roman" w:hAnsi="Symbol" w:cs="Times New Roman"/>
          <w:position w:val="2"/>
          <w:lang w:eastAsia="fr-FR"/>
        </w:rPr>
      </w:pP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Submissions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will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only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be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accepted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through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email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which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 </w:t>
      </w:r>
      <w:r w:rsidRPr="00C320CE">
        <w:rPr>
          <w:rFonts w:ascii="inherit" w:eastAsia="Times New Roman" w:hAnsi="inherit" w:cs="Arial"/>
          <w:b/>
          <w:bCs/>
          <w:i/>
          <w:iCs/>
          <w:position w:val="2"/>
          <w:sz w:val="24"/>
          <w:szCs w:val="24"/>
          <w:bdr w:val="none" w:sz="0" w:space="0" w:color="auto" w:frame="1"/>
          <w:lang w:eastAsia="fr-FR"/>
        </w:rPr>
        <w:t xml:space="preserve">must </w:t>
      </w:r>
      <w:proofErr w:type="spellStart"/>
      <w:r w:rsidRPr="00C320CE">
        <w:rPr>
          <w:rFonts w:ascii="inherit" w:eastAsia="Times New Roman" w:hAnsi="inherit" w:cs="Arial"/>
          <w:b/>
          <w:bCs/>
          <w:i/>
          <w:iCs/>
          <w:position w:val="2"/>
          <w:sz w:val="24"/>
          <w:szCs w:val="24"/>
          <w:bdr w:val="none" w:sz="0" w:space="0" w:color="auto" w:frame="1"/>
          <w:lang w:eastAsia="fr-FR"/>
        </w:rPr>
        <w:t>be</w:t>
      </w:r>
      <w:proofErr w:type="spellEnd"/>
      <w:r w:rsidRPr="00C320CE">
        <w:rPr>
          <w:rFonts w:ascii="inherit" w:eastAsia="Times New Roman" w:hAnsi="inherit" w:cs="Arial"/>
          <w:b/>
          <w:bCs/>
          <w:i/>
          <w:iCs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inherit" w:eastAsia="Times New Roman" w:hAnsi="inherit" w:cs="Arial"/>
          <w:b/>
          <w:bCs/>
          <w:i/>
          <w:iCs/>
          <w:position w:val="2"/>
          <w:sz w:val="24"/>
          <w:szCs w:val="24"/>
          <w:bdr w:val="none" w:sz="0" w:space="0" w:color="auto" w:frame="1"/>
          <w:lang w:eastAsia="fr-FR"/>
        </w:rPr>
        <w:t>titled</w:t>
      </w:r>
      <w:proofErr w:type="spellEnd"/>
      <w:r w:rsidRPr="00C320CE">
        <w:rPr>
          <w:rFonts w:ascii="inherit" w:eastAsia="Times New Roman" w:hAnsi="inherit" w:cs="Arial"/>
          <w:b/>
          <w:bCs/>
          <w:i/>
          <w:iCs/>
          <w:position w:val="2"/>
          <w:sz w:val="24"/>
          <w:szCs w:val="24"/>
          <w:bdr w:val="none" w:sz="0" w:space="0" w:color="auto" w:frame="1"/>
          <w:lang w:eastAsia="fr-FR"/>
        </w:rPr>
        <w:t> </w:t>
      </w:r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as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given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below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and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can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only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be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submitted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through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the email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accounts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listed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below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for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consideration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.</w:t>
      </w:r>
    </w:p>
    <w:p w:rsidR="00C320CE" w:rsidRPr="00C320CE" w:rsidRDefault="00C320CE" w:rsidP="00C320CE">
      <w:pPr>
        <w:shd w:val="clear" w:color="auto" w:fill="FFFFFF"/>
        <w:spacing w:after="0" w:line="384" w:lineRule="atLeast"/>
        <w:textAlignment w:val="baseline"/>
        <w:rPr>
          <w:rFonts w:ascii="Symbol" w:eastAsia="Times New Roman" w:hAnsi="Symbol" w:cs="Times New Roman"/>
          <w:position w:val="2"/>
          <w:lang w:eastAsia="fr-FR"/>
        </w:rPr>
      </w:pPr>
      <w:proofErr w:type="gram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o</w:t>
      </w:r>
      <w:proofErr w:type="gram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 </w:t>
      </w:r>
      <w:proofErr w:type="spellStart"/>
      <w:r w:rsidRPr="00C320CE">
        <w:rPr>
          <w:rFonts w:ascii="inherit" w:eastAsia="Times New Roman" w:hAnsi="inherit" w:cs="Arial"/>
          <w:b/>
          <w:bCs/>
          <w:position w:val="2"/>
          <w:sz w:val="24"/>
          <w:szCs w:val="24"/>
          <w:bdr w:val="none" w:sz="0" w:space="0" w:color="auto" w:frame="1"/>
          <w:lang w:eastAsia="fr-FR"/>
        </w:rPr>
        <w:t>Title</w:t>
      </w:r>
      <w:proofErr w:type="spellEnd"/>
      <w:r w:rsidRPr="00C320CE">
        <w:rPr>
          <w:rFonts w:ascii="inherit" w:eastAsia="Times New Roman" w:hAnsi="inherit" w:cs="Arial"/>
          <w:b/>
          <w:bCs/>
          <w:position w:val="2"/>
          <w:sz w:val="24"/>
          <w:szCs w:val="24"/>
          <w:bdr w:val="none" w:sz="0" w:space="0" w:color="auto" w:frame="1"/>
          <w:lang w:eastAsia="fr-FR"/>
        </w:rPr>
        <w:t>/</w:t>
      </w:r>
      <w:proofErr w:type="spellStart"/>
      <w:r w:rsidRPr="00C320CE">
        <w:rPr>
          <w:rFonts w:ascii="inherit" w:eastAsia="Times New Roman" w:hAnsi="inherit" w:cs="Arial"/>
          <w:b/>
          <w:bCs/>
          <w:position w:val="2"/>
          <w:sz w:val="24"/>
          <w:szCs w:val="24"/>
          <w:bdr w:val="none" w:sz="0" w:space="0" w:color="auto" w:frame="1"/>
          <w:lang w:eastAsia="fr-FR"/>
        </w:rPr>
        <w:t>subject</w:t>
      </w:r>
      <w:proofErr w:type="spellEnd"/>
      <w:r>
        <w:rPr>
          <w:rFonts w:ascii="inherit" w:eastAsia="Times New Roman" w:hAnsi="inherit" w:cs="Arial"/>
          <w:b/>
          <w:bCs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r w:rsidRPr="00C320CE">
        <w:rPr>
          <w:rFonts w:ascii="inherit" w:eastAsia="Times New Roman" w:hAnsi="inherit" w:cs="Arial"/>
          <w:b/>
          <w:bCs/>
          <w:position w:val="2"/>
          <w:sz w:val="24"/>
          <w:szCs w:val="24"/>
          <w:bdr w:val="none" w:sz="0" w:space="0" w:color="auto" w:frame="1"/>
          <w:lang w:eastAsia="fr-FR"/>
        </w:rPr>
        <w:t>of</w:t>
      </w:r>
      <w:r>
        <w:rPr>
          <w:rFonts w:ascii="inherit" w:eastAsia="Times New Roman" w:hAnsi="inherit" w:cs="Arial"/>
          <w:b/>
          <w:bCs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inherit" w:eastAsia="Times New Roman" w:hAnsi="inherit" w:cs="Arial"/>
          <w:b/>
          <w:bCs/>
          <w:position w:val="2"/>
          <w:sz w:val="24"/>
          <w:szCs w:val="24"/>
          <w:bdr w:val="none" w:sz="0" w:space="0" w:color="auto" w:frame="1"/>
          <w:lang w:eastAsia="fr-FR"/>
        </w:rPr>
        <w:t>email:SUBMISSION</w:t>
      </w:r>
      <w:proofErr w:type="spellEnd"/>
      <w:r w:rsidRPr="00C320CE">
        <w:rPr>
          <w:rFonts w:ascii="inherit" w:eastAsia="Times New Roman" w:hAnsi="inherit" w:cs="Arial"/>
          <w:b/>
          <w:bCs/>
          <w:position w:val="2"/>
          <w:sz w:val="24"/>
          <w:szCs w:val="24"/>
          <w:bdr w:val="none" w:sz="0" w:space="0" w:color="auto" w:frame="1"/>
          <w:lang w:eastAsia="fr-FR"/>
        </w:rPr>
        <w:t>–AUECHO2024-(INSERTTITLE OF ARTICLE)</w:t>
      </w:r>
    </w:p>
    <w:p w:rsidR="00C320CE" w:rsidRPr="00C320CE" w:rsidRDefault="00C320CE" w:rsidP="00C320CE">
      <w:pPr>
        <w:shd w:val="clear" w:color="auto" w:fill="FFFFFF"/>
        <w:spacing w:after="0" w:line="384" w:lineRule="atLeast"/>
        <w:textAlignment w:val="baseline"/>
        <w:rPr>
          <w:rFonts w:ascii="Symbol" w:eastAsia="Times New Roman" w:hAnsi="Symbol" w:cs="Times New Roman"/>
          <w:position w:val="2"/>
          <w:lang w:eastAsia="fr-FR"/>
        </w:rPr>
      </w:pPr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o </w:t>
      </w:r>
      <w:proofErr w:type="spellStart"/>
      <w:r w:rsidRPr="00C320CE">
        <w:rPr>
          <w:rFonts w:ascii="inherit" w:eastAsia="Times New Roman" w:hAnsi="inherit" w:cs="Arial"/>
          <w:b/>
          <w:bCs/>
          <w:position w:val="2"/>
          <w:sz w:val="24"/>
          <w:szCs w:val="24"/>
          <w:bdr w:val="none" w:sz="0" w:space="0" w:color="auto" w:frame="1"/>
          <w:lang w:eastAsia="fr-FR"/>
        </w:rPr>
        <w:t>Receiving</w:t>
      </w:r>
      <w:proofErr w:type="spellEnd"/>
      <w:r>
        <w:rPr>
          <w:rFonts w:ascii="inherit" w:eastAsia="Times New Roman" w:hAnsi="inherit" w:cs="Arial"/>
          <w:b/>
          <w:bCs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r w:rsidRPr="00C320CE">
        <w:rPr>
          <w:rFonts w:ascii="inherit" w:eastAsia="Times New Roman" w:hAnsi="inherit" w:cs="Arial"/>
          <w:b/>
          <w:bCs/>
          <w:position w:val="2"/>
          <w:sz w:val="24"/>
          <w:szCs w:val="24"/>
          <w:bdr w:val="none" w:sz="0" w:space="0" w:color="auto" w:frame="1"/>
          <w:lang w:eastAsia="fr-FR"/>
        </w:rPr>
        <w:t>emails:</w:t>
      </w:r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br/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Send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all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manuscripts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and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correspondence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to </w:t>
      </w:r>
      <w:hyperlink r:id="rId17" w:history="1">
        <w:r w:rsidRPr="00CA6C7E">
          <w:rPr>
            <w:rStyle w:val="Lienhypertexte"/>
            <w:rFonts w:ascii="Arial" w:eastAsia="Times New Roman" w:hAnsi="Arial" w:cs="Arial"/>
            <w:position w:val="2"/>
            <w:sz w:val="24"/>
            <w:szCs w:val="24"/>
            <w:bdr w:val="none" w:sz="0" w:space="0" w:color="auto" w:frame="1"/>
            <w:lang w:eastAsia="fr-FR"/>
          </w:rPr>
          <w:t>GamalK@africa-union.org</w:t>
        </w:r>
      </w:hyperlink>
      <w:r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 </w:t>
      </w:r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copying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the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Managing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Editor at </w:t>
      </w:r>
      <w:hyperlink r:id="rId18" w:history="1">
        <w:r w:rsidRPr="00CA6C7E">
          <w:rPr>
            <w:rStyle w:val="Lienhypertexte"/>
            <w:rFonts w:ascii="Arial" w:eastAsia="Times New Roman" w:hAnsi="Arial" w:cs="Arial"/>
            <w:position w:val="2"/>
            <w:sz w:val="24"/>
            <w:szCs w:val="24"/>
            <w:bdr w:val="none" w:sz="0" w:space="0" w:color="auto" w:frame="1"/>
            <w:lang w:eastAsia="fr-FR"/>
          </w:rPr>
          <w:t>MusabayanaW@africa-union.org</w:t>
        </w:r>
      </w:hyperlink>
      <w:r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 and </w:t>
      </w:r>
      <w:hyperlink r:id="rId19" w:history="1">
        <w:r w:rsidRPr="00CA6C7E">
          <w:rPr>
            <w:rStyle w:val="Lienhypertexte"/>
            <w:rFonts w:ascii="Arial" w:eastAsia="Times New Roman" w:hAnsi="Arial" w:cs="Arial"/>
            <w:position w:val="2"/>
            <w:sz w:val="24"/>
            <w:szCs w:val="24"/>
            <w:bdr w:val="none" w:sz="0" w:space="0" w:color="auto" w:frame="1"/>
            <w:lang w:eastAsia="fr-FR"/>
          </w:rPr>
          <w:t>DIC@africa-union.org</w:t>
        </w:r>
      </w:hyperlink>
      <w:r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</w:p>
    <w:p w:rsidR="00C320CE" w:rsidRDefault="00C320CE" w:rsidP="00C320CE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b/>
          <w:bCs/>
          <w:position w:val="2"/>
          <w:sz w:val="30"/>
          <w:szCs w:val="30"/>
          <w:bdr w:val="none" w:sz="0" w:space="0" w:color="auto" w:frame="1"/>
          <w:lang w:eastAsia="fr-FR"/>
        </w:rPr>
      </w:pPr>
    </w:p>
    <w:p w:rsidR="00C320CE" w:rsidRPr="00C320CE" w:rsidRDefault="00C320CE" w:rsidP="00C320CE">
      <w:pPr>
        <w:shd w:val="clear" w:color="auto" w:fill="FFFFFF"/>
        <w:spacing w:after="0" w:line="384" w:lineRule="atLeast"/>
        <w:textAlignment w:val="baseline"/>
        <w:rPr>
          <w:rFonts w:ascii="Symbol" w:eastAsia="Times New Roman" w:hAnsi="Symbol" w:cs="Times New Roman"/>
          <w:position w:val="2"/>
          <w:lang w:eastAsia="fr-FR"/>
        </w:rPr>
      </w:pPr>
      <w:r w:rsidRPr="00C320CE">
        <w:rPr>
          <w:rFonts w:ascii="inherit" w:eastAsia="Times New Roman" w:hAnsi="inherit" w:cs="Arial"/>
          <w:b/>
          <w:bCs/>
          <w:position w:val="2"/>
          <w:sz w:val="30"/>
          <w:szCs w:val="30"/>
          <w:bdr w:val="none" w:sz="0" w:space="0" w:color="auto" w:frame="1"/>
          <w:lang w:eastAsia="fr-FR"/>
        </w:rPr>
        <w:t xml:space="preserve">Deadline for </w:t>
      </w:r>
      <w:proofErr w:type="spellStart"/>
      <w:r w:rsidRPr="00C320CE">
        <w:rPr>
          <w:rFonts w:ascii="inherit" w:eastAsia="Times New Roman" w:hAnsi="inherit" w:cs="Arial"/>
          <w:b/>
          <w:bCs/>
          <w:position w:val="2"/>
          <w:sz w:val="30"/>
          <w:szCs w:val="30"/>
          <w:bdr w:val="none" w:sz="0" w:space="0" w:color="auto" w:frame="1"/>
          <w:lang w:eastAsia="fr-FR"/>
        </w:rPr>
        <w:t>Submission</w:t>
      </w:r>
      <w:proofErr w:type="spellEnd"/>
    </w:p>
    <w:p w:rsidR="00C320CE" w:rsidRPr="00C320CE" w:rsidRDefault="00C320CE" w:rsidP="00C320CE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sz w:val="27"/>
          <w:szCs w:val="28"/>
          <w:lang w:eastAsia="fr-FR"/>
        </w:rPr>
      </w:pPr>
      <w:proofErr w:type="spellStart"/>
      <w:r w:rsidRPr="00C320CE">
        <w:rPr>
          <w:rFonts w:ascii="inherit" w:eastAsia="Times New Roman" w:hAnsi="inherit" w:cs="Times New Roman"/>
          <w:sz w:val="27"/>
          <w:szCs w:val="28"/>
          <w:lang w:eastAsia="fr-FR"/>
        </w:rPr>
        <w:t>Manuscripts</w:t>
      </w:r>
      <w:proofErr w:type="spellEnd"/>
      <w:r w:rsidRPr="00C320CE">
        <w:rPr>
          <w:rFonts w:ascii="inherit" w:eastAsia="Times New Roman" w:hAnsi="inherit" w:cs="Times New Roman"/>
          <w:sz w:val="27"/>
          <w:szCs w:val="28"/>
          <w:lang w:eastAsia="fr-FR"/>
        </w:rPr>
        <w:t xml:space="preserve"> must </w:t>
      </w:r>
      <w:proofErr w:type="spellStart"/>
      <w:r w:rsidRPr="00C320CE">
        <w:rPr>
          <w:rFonts w:ascii="inherit" w:eastAsia="Times New Roman" w:hAnsi="inherit" w:cs="Times New Roman"/>
          <w:sz w:val="27"/>
          <w:szCs w:val="28"/>
          <w:lang w:eastAsia="fr-FR"/>
        </w:rPr>
        <w:t>be</w:t>
      </w:r>
      <w:proofErr w:type="spellEnd"/>
      <w:r w:rsidRPr="00C320CE">
        <w:rPr>
          <w:rFonts w:ascii="inherit" w:eastAsia="Times New Roman" w:hAnsi="inherit" w:cs="Times New Roman"/>
          <w:sz w:val="27"/>
          <w:szCs w:val="28"/>
          <w:lang w:eastAsia="fr-FR"/>
        </w:rPr>
        <w:t xml:space="preserve"> </w:t>
      </w:r>
      <w:proofErr w:type="spellStart"/>
      <w:r w:rsidRPr="00C320CE">
        <w:rPr>
          <w:rFonts w:ascii="inherit" w:eastAsia="Times New Roman" w:hAnsi="inherit" w:cs="Times New Roman"/>
          <w:sz w:val="27"/>
          <w:szCs w:val="28"/>
          <w:lang w:eastAsia="fr-FR"/>
        </w:rPr>
        <w:t>received</w:t>
      </w:r>
      <w:proofErr w:type="spellEnd"/>
      <w:r w:rsidRPr="00C320CE">
        <w:rPr>
          <w:rFonts w:ascii="inherit" w:eastAsia="Times New Roman" w:hAnsi="inherit" w:cs="Times New Roman"/>
          <w:sz w:val="27"/>
          <w:szCs w:val="28"/>
          <w:lang w:eastAsia="fr-FR"/>
        </w:rPr>
        <w:t xml:space="preserve"> </w:t>
      </w:r>
      <w:proofErr w:type="spellStart"/>
      <w:r w:rsidRPr="00C320CE">
        <w:rPr>
          <w:rFonts w:ascii="inherit" w:eastAsia="Times New Roman" w:hAnsi="inherit" w:cs="Times New Roman"/>
          <w:sz w:val="27"/>
          <w:szCs w:val="28"/>
          <w:lang w:eastAsia="fr-FR"/>
        </w:rPr>
        <w:t>beforeor</w:t>
      </w:r>
      <w:proofErr w:type="spellEnd"/>
      <w:r w:rsidRPr="00C320CE">
        <w:rPr>
          <w:rFonts w:ascii="inherit" w:eastAsia="Times New Roman" w:hAnsi="inherit" w:cs="Times New Roman"/>
          <w:sz w:val="27"/>
          <w:szCs w:val="28"/>
          <w:lang w:eastAsia="fr-FR"/>
        </w:rPr>
        <w:t xml:space="preserve"> by</w:t>
      </w:r>
      <w:r w:rsidRPr="00C320CE">
        <w:rPr>
          <w:rFonts w:ascii="inherit" w:eastAsia="Times New Roman" w:hAnsi="inherit" w:cs="Times New Roman"/>
          <w:b/>
          <w:bCs/>
          <w:sz w:val="27"/>
          <w:szCs w:val="28"/>
          <w:bdr w:val="none" w:sz="0" w:space="0" w:color="auto" w:frame="1"/>
          <w:lang w:eastAsia="fr-FR"/>
        </w:rPr>
        <w:t xml:space="preserve"> 17.00 East </w:t>
      </w:r>
      <w:proofErr w:type="spellStart"/>
      <w:r w:rsidRPr="00C320CE">
        <w:rPr>
          <w:rFonts w:ascii="inherit" w:eastAsia="Times New Roman" w:hAnsi="inherit" w:cs="Times New Roman"/>
          <w:b/>
          <w:bCs/>
          <w:sz w:val="27"/>
          <w:szCs w:val="28"/>
          <w:bdr w:val="none" w:sz="0" w:space="0" w:color="auto" w:frame="1"/>
          <w:lang w:eastAsia="fr-FR"/>
        </w:rPr>
        <w:t>AfricanTime</w:t>
      </w:r>
      <w:proofErr w:type="spellEnd"/>
      <w:r w:rsidRPr="00C320CE">
        <w:rPr>
          <w:rFonts w:ascii="inherit" w:eastAsia="Times New Roman" w:hAnsi="inherit" w:cs="Times New Roman"/>
          <w:b/>
          <w:bCs/>
          <w:sz w:val="27"/>
          <w:szCs w:val="28"/>
          <w:bdr w:val="none" w:sz="0" w:space="0" w:color="auto" w:frame="1"/>
          <w:lang w:eastAsia="fr-FR"/>
        </w:rPr>
        <w:t xml:space="preserve"> (GMT+3) on Thursday 30th </w:t>
      </w:r>
      <w:proofErr w:type="spellStart"/>
      <w:r w:rsidRPr="00C320CE">
        <w:rPr>
          <w:rFonts w:ascii="inherit" w:eastAsia="Times New Roman" w:hAnsi="inherit" w:cs="Times New Roman"/>
          <w:b/>
          <w:bCs/>
          <w:sz w:val="27"/>
          <w:szCs w:val="28"/>
          <w:bdr w:val="none" w:sz="0" w:space="0" w:color="auto" w:frame="1"/>
          <w:lang w:eastAsia="fr-FR"/>
        </w:rPr>
        <w:t>November</w:t>
      </w:r>
      <w:proofErr w:type="spellEnd"/>
      <w:r w:rsidRPr="00C320CE">
        <w:rPr>
          <w:rFonts w:ascii="inherit" w:eastAsia="Times New Roman" w:hAnsi="inherit" w:cs="Times New Roman"/>
          <w:b/>
          <w:bCs/>
          <w:sz w:val="27"/>
          <w:szCs w:val="28"/>
          <w:bdr w:val="none" w:sz="0" w:space="0" w:color="auto" w:frame="1"/>
          <w:lang w:eastAsia="fr-FR"/>
        </w:rPr>
        <w:t xml:space="preserve"> 2023</w:t>
      </w:r>
    </w:p>
    <w:p w:rsidR="00C320CE" w:rsidRPr="00C320CE" w:rsidRDefault="00C320CE" w:rsidP="00C320CE">
      <w:pPr>
        <w:shd w:val="clear" w:color="auto" w:fill="FFFFFF"/>
        <w:spacing w:after="300" w:line="384" w:lineRule="atLeast"/>
        <w:textAlignment w:val="baseline"/>
        <w:rPr>
          <w:rFonts w:ascii="inherit" w:eastAsia="Times New Roman" w:hAnsi="inherit" w:cs="Times New Roman"/>
          <w:sz w:val="27"/>
          <w:szCs w:val="28"/>
          <w:lang w:eastAsia="fr-FR"/>
        </w:rPr>
      </w:pPr>
      <w:r w:rsidRPr="00C320CE">
        <w:rPr>
          <w:rFonts w:ascii="inherit" w:eastAsia="Times New Roman" w:hAnsi="inherit" w:cs="Times New Roman"/>
          <w:sz w:val="27"/>
          <w:szCs w:val="28"/>
          <w:lang w:eastAsia="fr-FR"/>
        </w:rPr>
        <w:t> </w:t>
      </w:r>
    </w:p>
    <w:p w:rsidR="00C320CE" w:rsidRPr="00C320CE" w:rsidRDefault="00C320CE" w:rsidP="00C320CE">
      <w:pPr>
        <w:shd w:val="clear" w:color="auto" w:fill="FFFFFF"/>
        <w:spacing w:after="0" w:line="384" w:lineRule="atLeast"/>
        <w:jc w:val="both"/>
        <w:textAlignment w:val="baseline"/>
        <w:rPr>
          <w:rFonts w:ascii="Symbol" w:eastAsia="Times New Roman" w:hAnsi="Symbol" w:cs="Times New Roman"/>
          <w:position w:val="2"/>
          <w:lang w:eastAsia="fr-FR"/>
        </w:rPr>
      </w:pPr>
      <w:r w:rsidRPr="00C320CE">
        <w:rPr>
          <w:rFonts w:ascii="inherit" w:eastAsia="Times New Roman" w:hAnsi="inherit" w:cs="Arial"/>
          <w:b/>
          <w:bCs/>
          <w:position w:val="2"/>
          <w:sz w:val="30"/>
          <w:szCs w:val="30"/>
          <w:bdr w:val="none" w:sz="0" w:space="0" w:color="auto" w:frame="1"/>
          <w:lang w:eastAsia="fr-FR"/>
        </w:rPr>
        <w:t>About the AU ECHO:</w:t>
      </w:r>
    </w:p>
    <w:p w:rsidR="00C320CE" w:rsidRPr="00C320CE" w:rsidRDefault="00C320CE" w:rsidP="00C320CE">
      <w:pPr>
        <w:shd w:val="clear" w:color="auto" w:fill="FFFFFF"/>
        <w:spacing w:after="0" w:line="384" w:lineRule="atLeast"/>
        <w:jc w:val="both"/>
        <w:textAlignment w:val="baseline"/>
        <w:rPr>
          <w:rFonts w:ascii="Symbol" w:eastAsia="Times New Roman" w:hAnsi="Symbol" w:cs="Times New Roman"/>
          <w:position w:val="2"/>
          <w:lang w:eastAsia="fr-FR"/>
        </w:rPr>
      </w:pPr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The AU ECHO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provides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a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platform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for the 55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Member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States of the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African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Union, and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African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citizens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to profile the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successes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of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Africa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, and to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impart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knowledge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and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experiences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borne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from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African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led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initiatives,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based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on the instruments and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decisions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of the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African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Union. It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is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published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on an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annual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basis by the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Directorate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of Information and Communication of the AUC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with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content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largely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related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to the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AU’s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Theme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of the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Year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.</w:t>
      </w:r>
    </w:p>
    <w:p w:rsidR="00C320CE" w:rsidRDefault="00C320CE" w:rsidP="00C320C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</w:pPr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lastRenderedPageBreak/>
        <w:t xml:space="preserve">The AU ECHO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is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distributed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to AU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Heads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of State and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Government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,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Ministers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, senior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policy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makers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’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delegates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, and media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during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the AU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Summits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and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other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substantive meetings and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conferences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as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well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as to offices of the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African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Union. Distribution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is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also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made to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development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partner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organisations and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consulates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/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embassies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in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Addis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Ababa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. Soft copies are </w:t>
      </w:r>
      <w:proofErr w:type="spellStart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>posted</w:t>
      </w:r>
      <w:proofErr w:type="spellEnd"/>
      <w:r w:rsidRPr="00C320CE"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online on</w:t>
      </w:r>
      <w:r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  <w:hyperlink r:id="rId20" w:history="1">
        <w:r w:rsidRPr="00CA6C7E">
          <w:rPr>
            <w:rStyle w:val="Lienhypertexte"/>
            <w:rFonts w:ascii="Arial" w:eastAsia="Times New Roman" w:hAnsi="Arial" w:cs="Arial"/>
            <w:position w:val="2"/>
            <w:sz w:val="24"/>
            <w:szCs w:val="24"/>
            <w:bdr w:val="none" w:sz="0" w:space="0" w:color="auto" w:frame="1"/>
            <w:lang w:eastAsia="fr-FR"/>
          </w:rPr>
          <w:t>https://au.int/en/documents/1148</w:t>
        </w:r>
      </w:hyperlink>
    </w:p>
    <w:p w:rsidR="00C320CE" w:rsidRDefault="00C320CE" w:rsidP="00C320C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</w:pPr>
      <w:r>
        <w:rPr>
          <w:rFonts w:ascii="Arial" w:eastAsia="Times New Roman" w:hAnsi="Arial" w:cs="Arial"/>
          <w:position w:val="2"/>
          <w:sz w:val="24"/>
          <w:szCs w:val="24"/>
          <w:bdr w:val="none" w:sz="0" w:space="0" w:color="auto" w:frame="1"/>
          <w:lang w:eastAsia="fr-FR"/>
        </w:rPr>
        <w:t xml:space="preserve"> </w:t>
      </w:r>
    </w:p>
    <w:p w:rsidR="00C320CE" w:rsidRPr="00C320CE" w:rsidRDefault="00C320CE" w:rsidP="00C320CE">
      <w:pPr>
        <w:shd w:val="clear" w:color="auto" w:fill="FFFFFF"/>
        <w:spacing w:after="0" w:line="384" w:lineRule="atLeast"/>
        <w:jc w:val="both"/>
        <w:textAlignment w:val="baseline"/>
        <w:rPr>
          <w:rFonts w:ascii="Symbol" w:eastAsia="Times New Roman" w:hAnsi="Symbol" w:cs="Times New Roman"/>
          <w:position w:val="2"/>
          <w:lang w:eastAsia="fr-FR"/>
        </w:rPr>
      </w:pPr>
    </w:p>
    <w:p w:rsidR="00C320CE" w:rsidRPr="00C320CE" w:rsidRDefault="00C320CE" w:rsidP="00C320CE">
      <w:pPr>
        <w:shd w:val="clear" w:color="auto" w:fill="FFFFFF"/>
        <w:spacing w:after="300" w:line="384" w:lineRule="atLeast"/>
        <w:jc w:val="both"/>
        <w:textAlignment w:val="baseline"/>
        <w:rPr>
          <w:rFonts w:ascii="inherit" w:eastAsia="Times New Roman" w:hAnsi="inherit" w:cs="Times New Roman"/>
          <w:sz w:val="21"/>
          <w:szCs w:val="21"/>
          <w:lang w:eastAsia="fr-FR"/>
        </w:rPr>
      </w:pPr>
      <w:r w:rsidRPr="00C320CE">
        <w:rPr>
          <w:rFonts w:ascii="inherit" w:eastAsia="Times New Roman" w:hAnsi="inherit" w:cs="Times New Roman"/>
          <w:sz w:val="21"/>
          <w:szCs w:val="21"/>
          <w:lang w:eastAsia="fr-FR"/>
        </w:rPr>
        <w:t> </w:t>
      </w:r>
    </w:p>
    <w:p w:rsidR="00DC30A9" w:rsidRPr="00C320CE" w:rsidRDefault="00DC30A9"/>
    <w:sectPr w:rsidR="00DC30A9" w:rsidRPr="00C32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LT Std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CB6"/>
    <w:multiLevelType w:val="multilevel"/>
    <w:tmpl w:val="FA52D8B0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EastAsia" w:hAnsi="Calibri" w:cstheme="minorBid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2967AC"/>
    <w:multiLevelType w:val="multilevel"/>
    <w:tmpl w:val="2312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6846C2"/>
    <w:multiLevelType w:val="multilevel"/>
    <w:tmpl w:val="8936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EB128D"/>
    <w:multiLevelType w:val="multilevel"/>
    <w:tmpl w:val="C7C4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0635E8"/>
    <w:multiLevelType w:val="multilevel"/>
    <w:tmpl w:val="6EE25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7A139F"/>
    <w:multiLevelType w:val="multilevel"/>
    <w:tmpl w:val="E6F6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751C6C"/>
    <w:multiLevelType w:val="multilevel"/>
    <w:tmpl w:val="E6F6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FA0A35"/>
    <w:multiLevelType w:val="hybridMultilevel"/>
    <w:tmpl w:val="81865DCE"/>
    <w:lvl w:ilvl="0" w:tplc="E7C4C5E0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CE"/>
    <w:rsid w:val="00C320CE"/>
    <w:rsid w:val="00DC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E862"/>
  <w15:chartTrackingRefBased/>
  <w15:docId w15:val="{071E5D3C-4A6A-4AD6-8014-95BAE53E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C320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320C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C320CE"/>
    <w:rPr>
      <w:color w:val="0000FF"/>
      <w:u w:val="single"/>
    </w:rPr>
  </w:style>
  <w:style w:type="character" w:customStyle="1" w:styleId="a2akit">
    <w:name w:val="a2a_kit"/>
    <w:basedOn w:val="Policepardfaut"/>
    <w:rsid w:val="00C320CE"/>
  </w:style>
  <w:style w:type="character" w:styleId="lev">
    <w:name w:val="Strong"/>
    <w:basedOn w:val="Policepardfaut"/>
    <w:uiPriority w:val="22"/>
    <w:qFormat/>
    <w:rsid w:val="00C320CE"/>
    <w:rPr>
      <w:b/>
      <w:bCs/>
    </w:rPr>
  </w:style>
  <w:style w:type="character" w:customStyle="1" w:styleId="date-display-range">
    <w:name w:val="date-display-range"/>
    <w:basedOn w:val="Policepardfaut"/>
    <w:rsid w:val="00C320CE"/>
  </w:style>
  <w:style w:type="character" w:customStyle="1" w:styleId="date-display-start">
    <w:name w:val="date-display-start"/>
    <w:basedOn w:val="Policepardfaut"/>
    <w:rsid w:val="00C320CE"/>
  </w:style>
  <w:style w:type="character" w:customStyle="1" w:styleId="date-display-end">
    <w:name w:val="date-display-end"/>
    <w:basedOn w:val="Policepardfaut"/>
    <w:rsid w:val="00C320CE"/>
  </w:style>
  <w:style w:type="paragraph" w:styleId="NormalWeb">
    <w:name w:val="Normal (Web)"/>
    <w:basedOn w:val="Normal"/>
    <w:uiPriority w:val="99"/>
    <w:semiHidden/>
    <w:unhideWhenUsed/>
    <w:rsid w:val="00C32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32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9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1788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17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7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4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1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06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21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1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8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7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225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85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96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77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979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3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2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0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esdoc.unesco.org/ark:/48223/pf0000382577" TargetMode="External"/><Relationship Id="rId13" Type="http://schemas.openxmlformats.org/officeDocument/2006/relationships/hyperlink" Target="https://au.int/en/documents/20181022/continental-strategy-technical-and-vocational-educational-and-training-tvet" TargetMode="External"/><Relationship Id="rId18" Type="http://schemas.openxmlformats.org/officeDocument/2006/relationships/hyperlink" Target="mailto:MusabayanaW@africa-union.or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unesco.org/sdg4education2030/en/sdg4" TargetMode="External"/><Relationship Id="rId12" Type="http://schemas.openxmlformats.org/officeDocument/2006/relationships/hyperlink" Target="https://au.int/node/33127%20" TargetMode="External"/><Relationship Id="rId17" Type="http://schemas.openxmlformats.org/officeDocument/2006/relationships/hyperlink" Target="mailto:GamalK@africa-union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au.int/en/documents/1148" TargetMode="External"/><Relationship Id="rId20" Type="http://schemas.openxmlformats.org/officeDocument/2006/relationships/hyperlink" Target="https://au.int/en/documents/11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u.int/node/29958" TargetMode="External"/><Relationship Id="rId11" Type="http://schemas.openxmlformats.org/officeDocument/2006/relationships/hyperlink" Target="https://au.int/en/treaties%20%2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au.int/node/36195" TargetMode="External"/><Relationship Id="rId10" Type="http://schemas.openxmlformats.org/officeDocument/2006/relationships/hyperlink" Target="https://au.int/agenda2063/overview" TargetMode="External"/><Relationship Id="rId19" Type="http://schemas.openxmlformats.org/officeDocument/2006/relationships/hyperlink" Target="mailto:DIC@africa-unio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u.int/node/29514" TargetMode="External"/><Relationship Id="rId14" Type="http://schemas.openxmlformats.org/officeDocument/2006/relationships/hyperlink" Target="https://cieffa.au.int/sites/default/files/files/2022-04/statuteau-cieffaeng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1553</Words>
  <Characters>8544</Characters>
  <Application>Microsoft Office Word</Application>
  <DocSecurity>0</DocSecurity>
  <Lines>71</Lines>
  <Paragraphs>20</Paragraphs>
  <ScaleCrop>false</ScaleCrop>
  <Company/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2023-11-20T17:51:00Z</dcterms:created>
  <dcterms:modified xsi:type="dcterms:W3CDTF">2023-11-20T18:00:00Z</dcterms:modified>
</cp:coreProperties>
</file>